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65E7" w14:textId="4DCD3F1A" w:rsidR="00E55428" w:rsidRDefault="00DB489D" w:rsidP="00DB489D">
      <w:pPr>
        <w:pStyle w:val="TextLevel1"/>
        <w:ind w:left="0"/>
        <w:jc w:val="center"/>
        <w:rPr>
          <w:b/>
          <w:bCs/>
          <w:sz w:val="24"/>
          <w:szCs w:val="24"/>
        </w:rPr>
      </w:pPr>
      <w:bookmarkStart w:id="0" w:name="_Toc422938936"/>
      <w:bookmarkStart w:id="1" w:name="_Toc422931287"/>
      <w:r w:rsidRPr="00DB489D">
        <w:rPr>
          <w:b/>
          <w:bCs/>
          <w:sz w:val="24"/>
          <w:szCs w:val="24"/>
        </w:rPr>
        <w:t xml:space="preserve">Florida Substance </w:t>
      </w:r>
      <w:r>
        <w:rPr>
          <w:b/>
          <w:bCs/>
          <w:sz w:val="24"/>
          <w:szCs w:val="24"/>
        </w:rPr>
        <w:t>Use Disorder</w:t>
      </w:r>
      <w:r w:rsidRPr="00DB489D">
        <w:rPr>
          <w:b/>
          <w:bCs/>
          <w:sz w:val="24"/>
          <w:szCs w:val="24"/>
        </w:rPr>
        <w:t xml:space="preserve"> Licensure</w:t>
      </w:r>
    </w:p>
    <w:p w14:paraId="699BE5CD" w14:textId="48D1750B" w:rsidR="00780635" w:rsidRDefault="00ED7304" w:rsidP="00DB489D">
      <w:pPr>
        <w:pStyle w:val="TextLevel1"/>
        <w:ind w:left="0"/>
      </w:pPr>
      <w:r>
        <w:t>T</w:t>
      </w:r>
      <w:r w:rsidRPr="00ED7304">
        <w:t xml:space="preserve">he fee schedule pursuant to </w:t>
      </w:r>
      <w:r w:rsidR="0046188D" w:rsidRPr="0046188D">
        <w:t xml:space="preserve">Chapter 65D-30.0035, F.A.C. </w:t>
      </w:r>
      <w:r w:rsidR="00DB489D">
        <w:t xml:space="preserve"> </w:t>
      </w:r>
    </w:p>
    <w:p w14:paraId="62C77E19" w14:textId="192A7D09" w:rsidR="009D18A7" w:rsidRPr="00780635" w:rsidRDefault="00DB489D" w:rsidP="000C679F">
      <w:pPr>
        <w:pStyle w:val="TextLevel1"/>
        <w:ind w:left="0"/>
        <w:jc w:val="center"/>
        <w:rPr>
          <w:sz w:val="16"/>
          <w:szCs w:val="16"/>
        </w:rPr>
      </w:pPr>
      <w:r w:rsidRPr="00780635">
        <w:rPr>
          <w:sz w:val="16"/>
          <w:szCs w:val="16"/>
        </w:rPr>
        <w:t xml:space="preserve">*Note: A completed application must be provided to the Department at least 60 days prior to expiration of current license. Late </w:t>
      </w:r>
      <w:r w:rsidR="00B95917" w:rsidRPr="00780635">
        <w:rPr>
          <w:sz w:val="16"/>
          <w:szCs w:val="16"/>
        </w:rPr>
        <w:t>applications will incur a $100 late fee per licensable service component.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00"/>
        <w:gridCol w:w="720"/>
        <w:gridCol w:w="3690"/>
        <w:gridCol w:w="895"/>
      </w:tblGrid>
      <w:tr w:rsidR="002802EB" w14:paraId="677A31D2" w14:textId="77777777" w:rsidTr="005F358B">
        <w:tc>
          <w:tcPr>
            <w:tcW w:w="4045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9C41552" w14:textId="0135344E" w:rsidR="002802EB" w:rsidRPr="002B1A32" w:rsidRDefault="002802EB" w:rsidP="00780635">
            <w:pPr>
              <w:pStyle w:val="TextLevel1"/>
              <w:ind w:left="0"/>
              <w:jc w:val="center"/>
              <w:rPr>
                <w:b/>
                <w:bCs/>
              </w:rPr>
            </w:pPr>
            <w:r w:rsidRPr="002B1A32">
              <w:rPr>
                <w:b/>
                <w:bCs/>
              </w:rPr>
              <w:t>Publicly Funded Providers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2EAC4" w14:textId="77777777" w:rsidR="002802EB" w:rsidRDefault="002802EB" w:rsidP="0078063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83B56B6" w14:textId="711929B8" w:rsidR="002802EB" w:rsidRPr="002B1A32" w:rsidRDefault="00B95917" w:rsidP="00780635">
            <w:pPr>
              <w:pStyle w:val="TextLevel1"/>
              <w:ind w:left="0"/>
              <w:jc w:val="center"/>
              <w:rPr>
                <w:b/>
                <w:bCs/>
              </w:rPr>
            </w:pPr>
            <w:r w:rsidRPr="002B1A32">
              <w:rPr>
                <w:b/>
                <w:bCs/>
              </w:rPr>
              <w:t>Privately Funded Providers</w:t>
            </w:r>
          </w:p>
        </w:tc>
      </w:tr>
      <w:tr w:rsidR="007B2795" w14:paraId="10A82A33" w14:textId="77777777" w:rsidTr="00057EDA">
        <w:tc>
          <w:tcPr>
            <w:tcW w:w="3145" w:type="dxa"/>
            <w:vAlign w:val="center"/>
          </w:tcPr>
          <w:p w14:paraId="55D63DD9" w14:textId="201FD099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rPr>
                <w:b/>
                <w:bCs/>
              </w:rPr>
              <w:t>Service Component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0F91A4" w14:textId="7F923D6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rPr>
                <w:b/>
                <w:bCs/>
              </w:rPr>
              <w:t>Fee ($)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2F1F5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8191261" w14:textId="6499B446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rPr>
                <w:b/>
              </w:rPr>
              <w:t>Service Component</w:t>
            </w:r>
          </w:p>
        </w:tc>
        <w:tc>
          <w:tcPr>
            <w:tcW w:w="895" w:type="dxa"/>
            <w:vAlign w:val="center"/>
          </w:tcPr>
          <w:p w14:paraId="04E2ECEE" w14:textId="77A5D6D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rPr>
                <w:b/>
              </w:rPr>
              <w:t>Fee ($)</w:t>
            </w:r>
          </w:p>
        </w:tc>
      </w:tr>
      <w:tr w:rsidR="007B2795" w14:paraId="6F977233" w14:textId="77777777" w:rsidTr="00057EDA">
        <w:tc>
          <w:tcPr>
            <w:tcW w:w="3145" w:type="dxa"/>
            <w:vAlign w:val="center"/>
          </w:tcPr>
          <w:p w14:paraId="1E67A1CC" w14:textId="284B28C9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Addictions Receiving Facility (Adult)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B6DC97" w14:textId="666864A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93949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30579AB5" w14:textId="302FE826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Addictions Receiving Facility (Adult)</w:t>
            </w:r>
          </w:p>
        </w:tc>
        <w:tc>
          <w:tcPr>
            <w:tcW w:w="895" w:type="dxa"/>
            <w:vAlign w:val="center"/>
          </w:tcPr>
          <w:p w14:paraId="2BD6EEE4" w14:textId="38E9BEF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5697F8DC" w14:textId="77777777" w:rsidTr="00057EDA">
        <w:tc>
          <w:tcPr>
            <w:tcW w:w="3145" w:type="dxa"/>
            <w:vAlign w:val="center"/>
          </w:tcPr>
          <w:p w14:paraId="2004F269" w14:textId="4DEB7A38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Addictions Receiving Facility (Juvenile)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8D45E90" w14:textId="5DBC9EB8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CB1E7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61819A7F" w14:textId="7A4FD64E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Addictions Receiving Facility (Juvenile)</w:t>
            </w:r>
          </w:p>
        </w:tc>
        <w:tc>
          <w:tcPr>
            <w:tcW w:w="895" w:type="dxa"/>
            <w:vAlign w:val="center"/>
          </w:tcPr>
          <w:p w14:paraId="4410E117" w14:textId="63DD609A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799DB37E" w14:textId="77777777" w:rsidTr="00057EDA">
        <w:tc>
          <w:tcPr>
            <w:tcW w:w="3145" w:type="dxa"/>
            <w:vAlign w:val="center"/>
          </w:tcPr>
          <w:p w14:paraId="1F32F108" w14:textId="2821D3A9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Outpatient Methadone Detoxification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05582F9" w14:textId="34C1B391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E2D5F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86F8814" w14:textId="3ECFCDE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Outpatient Methadone Detoxification</w:t>
            </w:r>
          </w:p>
        </w:tc>
        <w:tc>
          <w:tcPr>
            <w:tcW w:w="895" w:type="dxa"/>
            <w:vAlign w:val="center"/>
          </w:tcPr>
          <w:p w14:paraId="79C44526" w14:textId="451C296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306C75D9" w14:textId="77777777" w:rsidTr="00057EDA">
        <w:tc>
          <w:tcPr>
            <w:tcW w:w="3145" w:type="dxa"/>
            <w:vAlign w:val="center"/>
          </w:tcPr>
          <w:p w14:paraId="43091EA2" w14:textId="4BF1E30B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Inpatient Methadone Detoxification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FE901BF" w14:textId="199FF557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4CE82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22A32E11" w14:textId="646E5878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Inpatient Methadone Detoxification</w:t>
            </w:r>
          </w:p>
        </w:tc>
        <w:tc>
          <w:tcPr>
            <w:tcW w:w="895" w:type="dxa"/>
            <w:vAlign w:val="center"/>
          </w:tcPr>
          <w:p w14:paraId="692AF7AC" w14:textId="7844E8EE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2B7ED630" w14:textId="77777777" w:rsidTr="00057EDA">
        <w:tc>
          <w:tcPr>
            <w:tcW w:w="3145" w:type="dxa"/>
            <w:vAlign w:val="center"/>
          </w:tcPr>
          <w:p w14:paraId="4C8F000E" w14:textId="3BEBA9CF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 xml:space="preserve">Outpatient Detoxification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501F481" w14:textId="5ADE30C8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DB40E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3C169F5" w14:textId="06A8DD8A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 xml:space="preserve">Outpatient Detoxification </w:t>
            </w:r>
          </w:p>
        </w:tc>
        <w:tc>
          <w:tcPr>
            <w:tcW w:w="895" w:type="dxa"/>
            <w:vAlign w:val="center"/>
          </w:tcPr>
          <w:p w14:paraId="6E0AB2EB" w14:textId="174799FA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43156491" w14:textId="77777777" w:rsidTr="00057EDA">
        <w:tc>
          <w:tcPr>
            <w:tcW w:w="3145" w:type="dxa"/>
            <w:vAlign w:val="center"/>
          </w:tcPr>
          <w:p w14:paraId="6432A544" w14:textId="26BFEDB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Inpatient Detoxification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5FB12C6" w14:textId="2C0E38B4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BED15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092E61E" w14:textId="30EAD10E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Inpatient Detoxification</w:t>
            </w:r>
          </w:p>
        </w:tc>
        <w:tc>
          <w:tcPr>
            <w:tcW w:w="895" w:type="dxa"/>
            <w:vAlign w:val="center"/>
          </w:tcPr>
          <w:p w14:paraId="5E92DC2C" w14:textId="3B62D9A2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375</w:t>
            </w:r>
          </w:p>
        </w:tc>
      </w:tr>
      <w:tr w:rsidR="007B2795" w14:paraId="1EC934CE" w14:textId="77777777" w:rsidTr="00057EDA">
        <w:tc>
          <w:tcPr>
            <w:tcW w:w="3145" w:type="dxa"/>
            <w:vAlign w:val="center"/>
          </w:tcPr>
          <w:p w14:paraId="61AB77CC" w14:textId="27FB8CCB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Intensive Inpatient Treatment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1FB962" w14:textId="785505EF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325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7AA22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6CE6C9C4" w14:textId="5A43E3A2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Intensive Inpatient Treatment</w:t>
            </w:r>
          </w:p>
        </w:tc>
        <w:tc>
          <w:tcPr>
            <w:tcW w:w="895" w:type="dxa"/>
            <w:vAlign w:val="center"/>
          </w:tcPr>
          <w:p w14:paraId="6CD7684D" w14:textId="79809823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350</w:t>
            </w:r>
          </w:p>
        </w:tc>
      </w:tr>
      <w:tr w:rsidR="007B2795" w14:paraId="62568C1A" w14:textId="77777777" w:rsidTr="00057EDA">
        <w:tc>
          <w:tcPr>
            <w:tcW w:w="3145" w:type="dxa"/>
            <w:vAlign w:val="center"/>
          </w:tcPr>
          <w:p w14:paraId="335F5E79" w14:textId="2D49A208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Residential Treatment I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B8125C" w14:textId="7CD9C58C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53B6C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19E57C92" w14:textId="55597232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Residential Treatment I</w:t>
            </w:r>
          </w:p>
        </w:tc>
        <w:tc>
          <w:tcPr>
            <w:tcW w:w="895" w:type="dxa"/>
            <w:vAlign w:val="center"/>
          </w:tcPr>
          <w:p w14:paraId="13E8BAE4" w14:textId="637ECF30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350</w:t>
            </w:r>
          </w:p>
        </w:tc>
      </w:tr>
      <w:tr w:rsidR="007B2795" w14:paraId="0F045EE9" w14:textId="77777777" w:rsidTr="00057EDA">
        <w:tc>
          <w:tcPr>
            <w:tcW w:w="3145" w:type="dxa"/>
            <w:vAlign w:val="center"/>
          </w:tcPr>
          <w:p w14:paraId="078BF3B8" w14:textId="35B9C984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Residential Treatment II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F117BF0" w14:textId="3374A1A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C7276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A50159F" w14:textId="12DF5B4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Residential Treatment II</w:t>
            </w:r>
          </w:p>
        </w:tc>
        <w:tc>
          <w:tcPr>
            <w:tcW w:w="895" w:type="dxa"/>
            <w:vAlign w:val="center"/>
          </w:tcPr>
          <w:p w14:paraId="7D5A5F3B" w14:textId="1DBD696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350</w:t>
            </w:r>
          </w:p>
        </w:tc>
      </w:tr>
      <w:tr w:rsidR="007B2795" w14:paraId="20B924CD" w14:textId="77777777" w:rsidTr="00057EDA">
        <w:tc>
          <w:tcPr>
            <w:tcW w:w="3145" w:type="dxa"/>
            <w:vAlign w:val="center"/>
          </w:tcPr>
          <w:p w14:paraId="389B776A" w14:textId="79C594DA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Residential Treatment III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F40E55D" w14:textId="2BEC5ADE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C020B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5CD730FE" w14:textId="0681F14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Residential Treatment III</w:t>
            </w:r>
          </w:p>
        </w:tc>
        <w:tc>
          <w:tcPr>
            <w:tcW w:w="895" w:type="dxa"/>
            <w:vAlign w:val="center"/>
          </w:tcPr>
          <w:p w14:paraId="467F67AD" w14:textId="42132975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350</w:t>
            </w:r>
          </w:p>
        </w:tc>
      </w:tr>
      <w:tr w:rsidR="007B2795" w14:paraId="43FE9C17" w14:textId="77777777" w:rsidTr="00057EDA">
        <w:tc>
          <w:tcPr>
            <w:tcW w:w="3145" w:type="dxa"/>
            <w:vAlign w:val="center"/>
          </w:tcPr>
          <w:p w14:paraId="32E1CBAF" w14:textId="19B6FF64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Residential Treatment IV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B4FC634" w14:textId="1C705B6C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37342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E1997ED" w14:textId="742A4B76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Residential Treatment IV</w:t>
            </w:r>
          </w:p>
        </w:tc>
        <w:tc>
          <w:tcPr>
            <w:tcW w:w="895" w:type="dxa"/>
            <w:vAlign w:val="center"/>
          </w:tcPr>
          <w:p w14:paraId="06E616A0" w14:textId="159DE588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350</w:t>
            </w:r>
          </w:p>
        </w:tc>
      </w:tr>
      <w:tr w:rsidR="007B2795" w14:paraId="04C9936D" w14:textId="77777777" w:rsidTr="00057EDA">
        <w:tc>
          <w:tcPr>
            <w:tcW w:w="3145" w:type="dxa"/>
            <w:vAlign w:val="center"/>
          </w:tcPr>
          <w:p w14:paraId="1BB13A05" w14:textId="4429826E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Day or Night Treatment with Community Housing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0B88A9" w14:textId="077D9AE5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6BA19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2D9E30EB" w14:textId="657B490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Day or Night Treatment with Community Housing</w:t>
            </w:r>
          </w:p>
        </w:tc>
        <w:tc>
          <w:tcPr>
            <w:tcW w:w="895" w:type="dxa"/>
            <w:vAlign w:val="center"/>
          </w:tcPr>
          <w:p w14:paraId="28C76710" w14:textId="45AD7B5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300</w:t>
            </w:r>
          </w:p>
        </w:tc>
      </w:tr>
      <w:tr w:rsidR="007B2795" w14:paraId="4B5E98A8" w14:textId="77777777" w:rsidTr="00057EDA">
        <w:tc>
          <w:tcPr>
            <w:tcW w:w="3145" w:type="dxa"/>
            <w:vAlign w:val="center"/>
          </w:tcPr>
          <w:p w14:paraId="16FF7439" w14:textId="07133EE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Day or Night Treatment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11A5C69" w14:textId="085FC2B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820B4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EEB7D33" w14:textId="2B61A4B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Day or Night Treatment</w:t>
            </w:r>
          </w:p>
        </w:tc>
        <w:tc>
          <w:tcPr>
            <w:tcW w:w="895" w:type="dxa"/>
            <w:vAlign w:val="center"/>
          </w:tcPr>
          <w:p w14:paraId="7B2EBEE7" w14:textId="5BF9518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300</w:t>
            </w:r>
          </w:p>
        </w:tc>
      </w:tr>
      <w:tr w:rsidR="007B2795" w14:paraId="0E7DA710" w14:textId="77777777" w:rsidTr="00057EDA">
        <w:tc>
          <w:tcPr>
            <w:tcW w:w="3145" w:type="dxa"/>
            <w:vAlign w:val="center"/>
          </w:tcPr>
          <w:p w14:paraId="056B26B4" w14:textId="057EBA2D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Intensive Outpatient Treatment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AB876AB" w14:textId="69B90E03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D6F91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459DC174" w14:textId="06B99FB5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Intensive Outpatient Treatment</w:t>
            </w:r>
          </w:p>
        </w:tc>
        <w:tc>
          <w:tcPr>
            <w:tcW w:w="895" w:type="dxa"/>
            <w:vAlign w:val="center"/>
          </w:tcPr>
          <w:p w14:paraId="50134652" w14:textId="1A30994E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300</w:t>
            </w:r>
          </w:p>
        </w:tc>
      </w:tr>
      <w:tr w:rsidR="007B2795" w14:paraId="661B9FCA" w14:textId="77777777" w:rsidTr="00057EDA">
        <w:tc>
          <w:tcPr>
            <w:tcW w:w="3145" w:type="dxa"/>
            <w:vAlign w:val="center"/>
          </w:tcPr>
          <w:p w14:paraId="4737A6F3" w14:textId="4CCDF687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Outpatient Treatment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D0C9FD4" w14:textId="14777356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62E8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7B4B1E6B" w14:textId="557601CD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Outpatient Treatment</w:t>
            </w:r>
          </w:p>
        </w:tc>
        <w:tc>
          <w:tcPr>
            <w:tcW w:w="895" w:type="dxa"/>
            <w:vAlign w:val="center"/>
          </w:tcPr>
          <w:p w14:paraId="0BDADB4C" w14:textId="2B3005B8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300</w:t>
            </w:r>
          </w:p>
        </w:tc>
      </w:tr>
      <w:tr w:rsidR="007B2795" w14:paraId="756C7BEA" w14:textId="77777777" w:rsidTr="00057EDA">
        <w:tc>
          <w:tcPr>
            <w:tcW w:w="3145" w:type="dxa"/>
            <w:vAlign w:val="center"/>
          </w:tcPr>
          <w:p w14:paraId="62BB613E" w14:textId="5DDAC3F4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Methadone Medication-Assisted Treatment for Opioid Addiction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98E657C" w14:textId="2C9C62E6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350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81757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5B0467E1" w14:textId="6C581B10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Methadone Medication-Assisted Treatment for Opioid Addiction</w:t>
            </w:r>
          </w:p>
        </w:tc>
        <w:tc>
          <w:tcPr>
            <w:tcW w:w="895" w:type="dxa"/>
            <w:vAlign w:val="center"/>
          </w:tcPr>
          <w:p w14:paraId="53120591" w14:textId="0B133000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400</w:t>
            </w:r>
          </w:p>
        </w:tc>
      </w:tr>
      <w:tr w:rsidR="007B2795" w14:paraId="0F3FD0CD" w14:textId="77777777" w:rsidTr="00057EDA">
        <w:tc>
          <w:tcPr>
            <w:tcW w:w="3145" w:type="dxa"/>
            <w:vAlign w:val="center"/>
          </w:tcPr>
          <w:p w14:paraId="73572224" w14:textId="1E39F941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Aftercare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0C5C532" w14:textId="311BEF9B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B14C2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5C85196" w14:textId="7A2514C9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Aftercare</w:t>
            </w:r>
          </w:p>
        </w:tc>
        <w:tc>
          <w:tcPr>
            <w:tcW w:w="895" w:type="dxa"/>
            <w:vAlign w:val="center"/>
          </w:tcPr>
          <w:p w14:paraId="70EEABC0" w14:textId="7B9B6A56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2789A005" w14:textId="77777777" w:rsidTr="00057EDA">
        <w:tc>
          <w:tcPr>
            <w:tcW w:w="3145" w:type="dxa"/>
            <w:vAlign w:val="center"/>
          </w:tcPr>
          <w:p w14:paraId="0FC343DA" w14:textId="65CC9786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General Intervention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10EC375" w14:textId="74DDDE9C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D415C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07148CF" w14:textId="144B673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General Intervention</w:t>
            </w:r>
          </w:p>
        </w:tc>
        <w:tc>
          <w:tcPr>
            <w:tcW w:w="895" w:type="dxa"/>
            <w:vAlign w:val="center"/>
          </w:tcPr>
          <w:p w14:paraId="1502CD45" w14:textId="2BC4950F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6AB0F8A2" w14:textId="77777777" w:rsidTr="00057EDA">
        <w:tc>
          <w:tcPr>
            <w:tcW w:w="3145" w:type="dxa"/>
            <w:vAlign w:val="center"/>
          </w:tcPr>
          <w:p w14:paraId="0363321D" w14:textId="223F591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Treatment Alternatives for Safer Communities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F86236F" w14:textId="7348781A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A02D6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231B9759" w14:textId="2F972AA1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Treatment Alternatives for Safer Communities</w:t>
            </w:r>
          </w:p>
        </w:tc>
        <w:tc>
          <w:tcPr>
            <w:tcW w:w="895" w:type="dxa"/>
            <w:vAlign w:val="center"/>
          </w:tcPr>
          <w:p w14:paraId="7489EF5F" w14:textId="554B3595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56EECB15" w14:textId="77777777" w:rsidTr="00057EDA">
        <w:tc>
          <w:tcPr>
            <w:tcW w:w="3145" w:type="dxa"/>
            <w:vAlign w:val="center"/>
          </w:tcPr>
          <w:p w14:paraId="0E331914" w14:textId="21F1CD75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Employee Assistance Program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955CF4F" w14:textId="5463B966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EE8A2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0D2F6E04" w14:textId="41537FD4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Employee Assistance Program</w:t>
            </w:r>
          </w:p>
        </w:tc>
        <w:tc>
          <w:tcPr>
            <w:tcW w:w="895" w:type="dxa"/>
            <w:vAlign w:val="center"/>
          </w:tcPr>
          <w:p w14:paraId="6F9C36CA" w14:textId="3B5BB4A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1C996A59" w14:textId="77777777" w:rsidTr="00057EDA">
        <w:tc>
          <w:tcPr>
            <w:tcW w:w="3145" w:type="dxa"/>
            <w:vAlign w:val="center"/>
          </w:tcPr>
          <w:p w14:paraId="54CAEDDF" w14:textId="4491AA4E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Case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145576" w14:textId="233F413D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545B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3FF3DB49" w14:textId="482ED6FE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Case Management</w:t>
            </w:r>
          </w:p>
        </w:tc>
        <w:tc>
          <w:tcPr>
            <w:tcW w:w="895" w:type="dxa"/>
            <w:vAlign w:val="center"/>
          </w:tcPr>
          <w:p w14:paraId="09304A27" w14:textId="47FAA411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07F33F6A" w14:textId="77777777" w:rsidTr="00057EDA">
        <w:tc>
          <w:tcPr>
            <w:tcW w:w="3145" w:type="dxa"/>
            <w:vAlign w:val="center"/>
          </w:tcPr>
          <w:p w14:paraId="48745209" w14:textId="19D47D1B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Prevention Indicated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17BFB16" w14:textId="07D0461C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C5055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7C82C8CF" w14:textId="7574F930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Prevention Indicated</w:t>
            </w:r>
          </w:p>
        </w:tc>
        <w:tc>
          <w:tcPr>
            <w:tcW w:w="895" w:type="dxa"/>
            <w:vAlign w:val="center"/>
          </w:tcPr>
          <w:p w14:paraId="405E97D3" w14:textId="23889E8D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10E4448C" w14:textId="77777777" w:rsidTr="00057EDA">
        <w:tc>
          <w:tcPr>
            <w:tcW w:w="3145" w:type="dxa"/>
            <w:vAlign w:val="center"/>
          </w:tcPr>
          <w:p w14:paraId="041204DA" w14:textId="20266542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Prevention Selective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250D9DD" w14:textId="7C0769DE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2D5BE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778EA76C" w14:textId="4B37414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Prevention Selective</w:t>
            </w:r>
          </w:p>
        </w:tc>
        <w:tc>
          <w:tcPr>
            <w:tcW w:w="895" w:type="dxa"/>
            <w:vAlign w:val="center"/>
          </w:tcPr>
          <w:p w14:paraId="36B9CC6D" w14:textId="21D0AB52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  <w:tr w:rsidR="007B2795" w14:paraId="650CD39E" w14:textId="77777777" w:rsidTr="00057EDA">
        <w:tc>
          <w:tcPr>
            <w:tcW w:w="3145" w:type="dxa"/>
            <w:vAlign w:val="center"/>
          </w:tcPr>
          <w:p w14:paraId="35D22076" w14:textId="381F362E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Prevention Universal Direct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9342EA0" w14:textId="206E5E20" w:rsidR="007B2795" w:rsidRPr="003024EC" w:rsidRDefault="007B2795" w:rsidP="007B2795">
            <w:pPr>
              <w:pStyle w:val="TextLevel1"/>
              <w:ind w:left="0"/>
              <w:jc w:val="center"/>
            </w:pPr>
            <w:r w:rsidRPr="003024EC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D8F36" w14:textId="77777777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vAlign w:val="center"/>
          </w:tcPr>
          <w:p w14:paraId="519BD159" w14:textId="5D4930CB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Prevention Universal Direct</w:t>
            </w:r>
          </w:p>
        </w:tc>
        <w:tc>
          <w:tcPr>
            <w:tcW w:w="895" w:type="dxa"/>
            <w:vAlign w:val="center"/>
          </w:tcPr>
          <w:p w14:paraId="61BB2F27" w14:textId="5BE1CAF0" w:rsidR="007B2795" w:rsidRDefault="007B2795" w:rsidP="007B2795">
            <w:pPr>
              <w:pStyle w:val="TextLevel1"/>
              <w:ind w:left="0"/>
              <w:jc w:val="center"/>
              <w:rPr>
                <w:sz w:val="16"/>
                <w:szCs w:val="16"/>
              </w:rPr>
            </w:pPr>
            <w:r w:rsidRPr="00FA09D9">
              <w:t>250</w:t>
            </w:r>
          </w:p>
        </w:tc>
      </w:tr>
    </w:tbl>
    <w:p w14:paraId="0D27A590" w14:textId="269D8182" w:rsidR="00DB489D" w:rsidRDefault="00DB489D" w:rsidP="00B95917">
      <w:pPr>
        <w:pStyle w:val="TextLevel1"/>
        <w:ind w:left="0"/>
        <w:jc w:val="center"/>
        <w:rPr>
          <w:sz w:val="16"/>
          <w:szCs w:val="16"/>
        </w:rPr>
      </w:pPr>
    </w:p>
    <w:p w14:paraId="7796F61C" w14:textId="6EDFFEE6" w:rsidR="00F01339" w:rsidRDefault="00F01339" w:rsidP="00F01339">
      <w:pPr>
        <w:pStyle w:val="TextLevel1"/>
        <w:ind w:left="0"/>
      </w:pPr>
      <w:r>
        <w:rPr>
          <w:sz w:val="16"/>
          <w:szCs w:val="16"/>
        </w:rPr>
        <w:t>*</w:t>
      </w:r>
      <w:r w:rsidRPr="00F01339">
        <w:t xml:space="preserve"> </w:t>
      </w:r>
      <w:r w:rsidRPr="00FA09D9">
        <w:t>Applications to provide overlay services or medication assisted treatment mobile units should be accompanied by the fee equal to the amount of the licensure fee for the relative service component(s).</w:t>
      </w:r>
    </w:p>
    <w:bookmarkEnd w:id="0"/>
    <w:bookmarkEnd w:id="1"/>
    <w:p w14:paraId="794AA422" w14:textId="7892CDF5" w:rsidR="00F01339" w:rsidRDefault="00F01339" w:rsidP="00F01339">
      <w:pPr>
        <w:pStyle w:val="TextLevel1"/>
        <w:ind w:left="0"/>
      </w:pPr>
      <w:r>
        <w:t xml:space="preserve">* </w:t>
      </w:r>
      <w:r w:rsidR="007D2D7B" w:rsidRPr="00FA09D9">
        <w:t>Relocation Fee – The relocation fee is based on the fee charged for the component(s) being relocated. The relocation fee will be waived if due to a natural disaster.</w:t>
      </w:r>
    </w:p>
    <w:p w14:paraId="2A503F13" w14:textId="080AEB5C" w:rsidR="00661CEB" w:rsidRDefault="00BD4524" w:rsidP="00F01339">
      <w:pPr>
        <w:pStyle w:val="TextLevel1"/>
        <w:ind w:left="0"/>
        <w:rPr>
          <w:i/>
          <w:sz w:val="18"/>
          <w:szCs w:val="18"/>
        </w:rPr>
      </w:pPr>
      <w:r w:rsidRPr="009A2356">
        <w:rPr>
          <w:i/>
          <w:sz w:val="18"/>
          <w:szCs w:val="18"/>
        </w:rPr>
        <w:t>Rulemaking Authority 397.321(5)</w:t>
      </w:r>
      <w:r>
        <w:rPr>
          <w:i/>
          <w:sz w:val="18"/>
          <w:szCs w:val="18"/>
        </w:rPr>
        <w:t xml:space="preserve"> FS. Law Implemented 397.321(6),</w:t>
      </w:r>
      <w:r w:rsidRPr="009A2356">
        <w:rPr>
          <w:i/>
          <w:sz w:val="18"/>
          <w:szCs w:val="18"/>
        </w:rPr>
        <w:t xml:space="preserve"> 397.407 FS. History–New</w:t>
      </w:r>
      <w:r>
        <w:rPr>
          <w:i/>
          <w:sz w:val="18"/>
          <w:szCs w:val="18"/>
        </w:rPr>
        <w:t xml:space="preserve"> 8-29-19, Amended 10-16-25</w:t>
      </w:r>
      <w:r w:rsidRPr="009A2356">
        <w:rPr>
          <w:i/>
          <w:sz w:val="18"/>
          <w:szCs w:val="18"/>
        </w:rPr>
        <w:t>.</w:t>
      </w:r>
    </w:p>
    <w:p w14:paraId="269DE6F8" w14:textId="7AB4F7BA" w:rsidR="00661CEB" w:rsidRPr="00661CEB" w:rsidRDefault="00661CEB" w:rsidP="00661CEB">
      <w:pPr>
        <w:pStyle w:val="TextLevel1"/>
        <w:ind w:left="0"/>
      </w:pPr>
      <w:r w:rsidRPr="00661CEB">
        <w:t xml:space="preserve">Applicants are required to pay a fee upon </w:t>
      </w:r>
      <w:proofErr w:type="gramStart"/>
      <w:r w:rsidRPr="00661CEB">
        <w:t>submitting an application</w:t>
      </w:r>
      <w:proofErr w:type="gramEnd"/>
      <w:r w:rsidRPr="00661CEB">
        <w:t xml:space="preserve">.  LEADS accepts the following payments: </w:t>
      </w:r>
      <w:r>
        <w:t>credit card, electronic check, and paper check</w:t>
      </w:r>
      <w:r w:rsidRPr="00661CEB">
        <w:t>.</w:t>
      </w:r>
    </w:p>
    <w:p w14:paraId="12B28AAB" w14:textId="16C0FD12" w:rsidR="00661CEB" w:rsidRPr="00661CEB" w:rsidRDefault="00661CEB" w:rsidP="00661CEB">
      <w:pPr>
        <w:pStyle w:val="TextLevel1"/>
        <w:ind w:left="0"/>
      </w:pPr>
      <w:r w:rsidRPr="00661CEB">
        <w:lastRenderedPageBreak/>
        <w:t xml:space="preserve">If submitting a paper application to the regional office, paper checks must be submitted to </w:t>
      </w:r>
      <w:r w:rsidR="000122C2">
        <w:t>t</w:t>
      </w:r>
      <w:r w:rsidRPr="00661CEB">
        <w:t>he regional office</w:t>
      </w:r>
      <w:r w:rsidR="000122C2">
        <w:t>.</w:t>
      </w:r>
    </w:p>
    <w:p w14:paraId="392A1599" w14:textId="77777777" w:rsidR="00661CEB" w:rsidRDefault="00661CEB" w:rsidP="00F01339">
      <w:pPr>
        <w:pStyle w:val="TextLevel1"/>
        <w:ind w:left="0"/>
        <w:rPr>
          <w:sz w:val="16"/>
          <w:szCs w:val="16"/>
        </w:rPr>
      </w:pPr>
    </w:p>
    <w:sectPr w:rsidR="00661CEB" w:rsidSect="004D00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3376" w14:textId="77777777" w:rsidR="00FC45A2" w:rsidRDefault="00FC45A2" w:rsidP="0050494F">
      <w:pPr>
        <w:spacing w:after="0" w:line="240" w:lineRule="auto"/>
      </w:pPr>
      <w:r>
        <w:separator/>
      </w:r>
    </w:p>
  </w:endnote>
  <w:endnote w:type="continuationSeparator" w:id="0">
    <w:p w14:paraId="3122C82F" w14:textId="77777777" w:rsidR="00FC45A2" w:rsidRDefault="00FC45A2" w:rsidP="0050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CellMar>
        <w:top w:w="5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350"/>
    </w:tblGrid>
    <w:tr w:rsidR="00911858" w14:paraId="30EEABD8" w14:textId="77777777" w:rsidTr="00237681">
      <w:tc>
        <w:tcPr>
          <w:tcW w:w="9350" w:type="dxa"/>
        </w:tcPr>
        <w:p w14:paraId="39A603DB" w14:textId="77777777" w:rsidR="00911858" w:rsidRPr="00554420" w:rsidRDefault="002B1A32" w:rsidP="00DC2AAD">
          <w:pPr>
            <w:pStyle w:val="Footer"/>
            <w:jc w:val="center"/>
            <w:rPr>
              <w:rFonts w:ascii="Arial" w:hAnsi="Arial" w:cs="Arial"/>
            </w:rPr>
          </w:pPr>
          <w:sdt>
            <w:sdtPr>
              <w:id w:val="160099032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157539224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911858" w:rsidRPr="00554420">
                    <w:rPr>
                      <w:rFonts w:ascii="Arial" w:hAnsi="Arial" w:cs="Arial"/>
                    </w:rPr>
                    <w:t xml:space="preserve">Page </w: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begin"/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instrText xml:space="preserve"> PAGE </w:instrTex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="00D0648F">
                    <w:rPr>
                      <w:rFonts w:ascii="Arial" w:hAnsi="Arial" w:cs="Arial"/>
                      <w:b/>
                      <w:bCs/>
                      <w:noProof/>
                    </w:rPr>
                    <w:t>1</w: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end"/>
                  </w:r>
                  <w:r w:rsidR="00911858" w:rsidRPr="00554420">
                    <w:rPr>
                      <w:rFonts w:ascii="Arial" w:hAnsi="Arial" w:cs="Arial"/>
                    </w:rPr>
                    <w:t xml:space="preserve"> of </w: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begin"/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instrText xml:space="preserve"> NUMPAGES  </w:instrTex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="00D0648F">
                    <w:rPr>
                      <w:rFonts w:ascii="Arial" w:hAnsi="Arial" w:cs="Arial"/>
                      <w:b/>
                      <w:bCs/>
                      <w:noProof/>
                    </w:rPr>
                    <w:t>1</w:t>
                  </w:r>
                  <w:r w:rsidR="00911858" w:rsidRPr="00554420">
                    <w:rPr>
                      <w:rFonts w:ascii="Arial" w:hAnsi="Arial" w:cs="Arial"/>
                      <w:b/>
                      <w:bCs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4F435BA7" w14:textId="77777777" w:rsidR="00911858" w:rsidRDefault="00911858" w:rsidP="00DC2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B5B8" w14:textId="77777777" w:rsidR="00FC45A2" w:rsidRDefault="00FC45A2" w:rsidP="0050494F">
      <w:pPr>
        <w:spacing w:after="0" w:line="240" w:lineRule="auto"/>
      </w:pPr>
      <w:r>
        <w:separator/>
      </w:r>
    </w:p>
  </w:footnote>
  <w:footnote w:type="continuationSeparator" w:id="0">
    <w:p w14:paraId="2417BA2D" w14:textId="77777777" w:rsidR="00FC45A2" w:rsidRDefault="00FC45A2" w:rsidP="0050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24"/>
      <w:gridCol w:w="1626"/>
    </w:tblGrid>
    <w:tr w:rsidR="00911858" w14:paraId="270B0EA8" w14:textId="77777777" w:rsidTr="00237681">
      <w:tc>
        <w:tcPr>
          <w:tcW w:w="7724" w:type="dxa"/>
        </w:tcPr>
        <w:p w14:paraId="3EF94C2E" w14:textId="126E677B" w:rsidR="00911858" w:rsidRPr="001B1CF1" w:rsidRDefault="00911858" w:rsidP="00D25C2A">
          <w:pPr>
            <w:rPr>
              <w:rFonts w:ascii="Arial" w:hAnsi="Arial" w:cs="Arial"/>
              <w:sz w:val="28"/>
              <w:szCs w:val="28"/>
            </w:rPr>
          </w:pPr>
          <w:r w:rsidRPr="001B1CF1">
            <w:rPr>
              <w:rFonts w:ascii="Arial" w:hAnsi="Arial" w:cs="Arial"/>
              <w:sz w:val="28"/>
              <w:szCs w:val="28"/>
            </w:rPr>
            <w:t xml:space="preserve">Office of </w:t>
          </w:r>
          <w:r w:rsidR="001A362B">
            <w:rPr>
              <w:rFonts w:ascii="Arial" w:hAnsi="Arial" w:cs="Arial"/>
              <w:sz w:val="28"/>
              <w:szCs w:val="28"/>
            </w:rPr>
            <w:t>Quality and Innovation</w:t>
          </w:r>
        </w:p>
        <w:p w14:paraId="7CEC4711" w14:textId="3EA4DE1D" w:rsidR="00911858" w:rsidRPr="001B1CF1" w:rsidRDefault="00911858" w:rsidP="00D25C2A">
          <w:pPr>
            <w:rPr>
              <w:rFonts w:ascii="Arial" w:hAnsi="Arial" w:cs="Arial"/>
              <w:sz w:val="24"/>
              <w:szCs w:val="24"/>
            </w:rPr>
          </w:pPr>
          <w:r w:rsidRPr="001B1CF1">
            <w:rPr>
              <w:rFonts w:ascii="Arial" w:hAnsi="Arial" w:cs="Arial"/>
              <w:sz w:val="24"/>
              <w:szCs w:val="24"/>
            </w:rPr>
            <w:t xml:space="preserve">Substance </w:t>
          </w:r>
          <w:r w:rsidR="001A362B">
            <w:rPr>
              <w:rFonts w:ascii="Arial" w:hAnsi="Arial" w:cs="Arial"/>
              <w:sz w:val="24"/>
              <w:szCs w:val="24"/>
            </w:rPr>
            <w:t>Use Disorder Licensing</w:t>
          </w:r>
        </w:p>
        <w:p w14:paraId="0F6F4686" w14:textId="77777777" w:rsidR="00911858" w:rsidRPr="001B1CF1" w:rsidRDefault="00911858" w:rsidP="00D25C2A">
          <w:pPr>
            <w:rPr>
              <w:rFonts w:ascii="Arial" w:hAnsi="Arial" w:cs="Arial"/>
            </w:rPr>
          </w:pPr>
        </w:p>
        <w:p w14:paraId="3AF13329" w14:textId="3DE7D561" w:rsidR="00911858" w:rsidRPr="00C56029" w:rsidRDefault="00DB489D" w:rsidP="00D25C2A">
          <w:pPr>
            <w:rPr>
              <w:rFonts w:ascii="Arial" w:hAnsi="Arial" w:cs="Arial"/>
              <w:b/>
              <w:sz w:val="36"/>
              <w:szCs w:val="36"/>
            </w:rPr>
          </w:pPr>
          <w:r w:rsidRPr="00DB489D">
            <w:rPr>
              <w:rFonts w:ascii="Arial" w:hAnsi="Arial" w:cs="Arial"/>
              <w:b/>
              <w:sz w:val="36"/>
              <w:szCs w:val="36"/>
            </w:rPr>
            <w:t>Licensure Fee Schedule</w:t>
          </w:r>
        </w:p>
      </w:tc>
      <w:tc>
        <w:tcPr>
          <w:tcW w:w="1626" w:type="dxa"/>
        </w:tcPr>
        <w:p w14:paraId="52447360" w14:textId="77777777" w:rsidR="00911858" w:rsidRDefault="00911858" w:rsidP="00D25C2A">
          <w:pPr>
            <w:pStyle w:val="Header"/>
            <w:spacing w:after="80"/>
          </w:pPr>
          <w:r w:rsidRPr="001B3556">
            <w:rPr>
              <w:rFonts w:ascii="Arial" w:hAnsi="Arial"/>
              <w:noProof/>
              <w:sz w:val="24"/>
            </w:rPr>
            <w:drawing>
              <wp:inline distT="0" distB="0" distL="0" distR="0" wp14:anchorId="24F837CC" wp14:editId="61814A2D">
                <wp:extent cx="658197" cy="731520"/>
                <wp:effectExtent l="0" t="0" r="8890" b="0"/>
                <wp:docPr id="2" name="Picture 3" descr="U:\sh-osc\Press Share\Photos, Graphics, Special Projects and Reports\State Agency Logos\DCF LOGOS\DCF 2012 LOGO\UPDATED LOGOS\Circle\DCF_Logo_circ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sh-osc\Press Share\Photos, Graphics, Special Projects and Reports\State Agency Logos\DCF LOGOS\DCF 2012 LOGO\UPDATED LOGOS\Circle\DCF_Logo_circ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070" cy="77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3E0245" w14:textId="77777777" w:rsidR="00911858" w:rsidRDefault="00911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30"/>
    <w:multiLevelType w:val="hybridMultilevel"/>
    <w:tmpl w:val="FE3CF7F6"/>
    <w:lvl w:ilvl="0" w:tplc="DB9EB4BC">
      <w:start w:val="1"/>
      <w:numFmt w:val="decimal"/>
      <w:pStyle w:val="HdgLevel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E47"/>
    <w:multiLevelType w:val="multilevel"/>
    <w:tmpl w:val="F8683152"/>
    <w:lvl w:ilvl="0">
      <w:start w:val="1"/>
      <w:numFmt w:val="decimal"/>
      <w:pStyle w:val="Heading1"/>
      <w:lvlText w:val="%1."/>
      <w:lvlJc w:val="left"/>
      <w:pPr>
        <w:ind w:left="30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B18C3"/>
    <w:multiLevelType w:val="hybridMultilevel"/>
    <w:tmpl w:val="486A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2F6C"/>
    <w:multiLevelType w:val="multilevel"/>
    <w:tmpl w:val="2052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A1ACE"/>
    <w:multiLevelType w:val="hybridMultilevel"/>
    <w:tmpl w:val="C052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B3A71"/>
    <w:multiLevelType w:val="hybridMultilevel"/>
    <w:tmpl w:val="94005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0E96"/>
    <w:multiLevelType w:val="multilevel"/>
    <w:tmpl w:val="71CA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558309">
    <w:abstractNumId w:val="0"/>
  </w:num>
  <w:num w:numId="2" w16cid:durableId="1516530811">
    <w:abstractNumId w:val="1"/>
  </w:num>
  <w:num w:numId="3" w16cid:durableId="1629316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62174">
    <w:abstractNumId w:val="2"/>
  </w:num>
  <w:num w:numId="5" w16cid:durableId="2106070045">
    <w:abstractNumId w:val="1"/>
  </w:num>
  <w:num w:numId="6" w16cid:durableId="551312882">
    <w:abstractNumId w:val="4"/>
  </w:num>
  <w:num w:numId="7" w16cid:durableId="1918975034">
    <w:abstractNumId w:val="5"/>
  </w:num>
  <w:num w:numId="8" w16cid:durableId="1475488529">
    <w:abstractNumId w:val="3"/>
  </w:num>
  <w:num w:numId="9" w16cid:durableId="9884852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4F"/>
    <w:rsid w:val="00007196"/>
    <w:rsid w:val="000078B3"/>
    <w:rsid w:val="000122C2"/>
    <w:rsid w:val="00012E8C"/>
    <w:rsid w:val="00013323"/>
    <w:rsid w:val="000243F1"/>
    <w:rsid w:val="00027F42"/>
    <w:rsid w:val="00030289"/>
    <w:rsid w:val="00053B52"/>
    <w:rsid w:val="0005481D"/>
    <w:rsid w:val="00055B6A"/>
    <w:rsid w:val="00057860"/>
    <w:rsid w:val="00057EDA"/>
    <w:rsid w:val="00071189"/>
    <w:rsid w:val="00071DE2"/>
    <w:rsid w:val="00075FBC"/>
    <w:rsid w:val="00081133"/>
    <w:rsid w:val="00094529"/>
    <w:rsid w:val="00097E48"/>
    <w:rsid w:val="000A2257"/>
    <w:rsid w:val="000A78FD"/>
    <w:rsid w:val="000B62D4"/>
    <w:rsid w:val="000C4D4A"/>
    <w:rsid w:val="000C679F"/>
    <w:rsid w:val="000E04BD"/>
    <w:rsid w:val="000F2438"/>
    <w:rsid w:val="001063C4"/>
    <w:rsid w:val="0011552E"/>
    <w:rsid w:val="00115894"/>
    <w:rsid w:val="0011716C"/>
    <w:rsid w:val="001201CD"/>
    <w:rsid w:val="00132CC9"/>
    <w:rsid w:val="00132DD8"/>
    <w:rsid w:val="00134395"/>
    <w:rsid w:val="00134B96"/>
    <w:rsid w:val="00136441"/>
    <w:rsid w:val="00160B1A"/>
    <w:rsid w:val="00161A4D"/>
    <w:rsid w:val="00164D9A"/>
    <w:rsid w:val="00166733"/>
    <w:rsid w:val="00172D18"/>
    <w:rsid w:val="00193B30"/>
    <w:rsid w:val="001A1E90"/>
    <w:rsid w:val="001A362B"/>
    <w:rsid w:val="001B7B1B"/>
    <w:rsid w:val="001C4907"/>
    <w:rsid w:val="001E4848"/>
    <w:rsid w:val="00207EE2"/>
    <w:rsid w:val="0021691E"/>
    <w:rsid w:val="00222197"/>
    <w:rsid w:val="00222350"/>
    <w:rsid w:val="002238CC"/>
    <w:rsid w:val="002318C9"/>
    <w:rsid w:val="00237681"/>
    <w:rsid w:val="00241679"/>
    <w:rsid w:val="002472BA"/>
    <w:rsid w:val="002802EB"/>
    <w:rsid w:val="002A0BCE"/>
    <w:rsid w:val="002A2164"/>
    <w:rsid w:val="002B142B"/>
    <w:rsid w:val="002B1A32"/>
    <w:rsid w:val="002B4532"/>
    <w:rsid w:val="002C0F9B"/>
    <w:rsid w:val="002C2244"/>
    <w:rsid w:val="002C5BEE"/>
    <w:rsid w:val="002D3C3B"/>
    <w:rsid w:val="002D4D36"/>
    <w:rsid w:val="002D51B6"/>
    <w:rsid w:val="002F66AD"/>
    <w:rsid w:val="002F7C91"/>
    <w:rsid w:val="003059B7"/>
    <w:rsid w:val="003123A1"/>
    <w:rsid w:val="003252A4"/>
    <w:rsid w:val="0032566A"/>
    <w:rsid w:val="00347A89"/>
    <w:rsid w:val="00356412"/>
    <w:rsid w:val="003576BD"/>
    <w:rsid w:val="003704BA"/>
    <w:rsid w:val="00375917"/>
    <w:rsid w:val="00377A2D"/>
    <w:rsid w:val="00381F7A"/>
    <w:rsid w:val="00382827"/>
    <w:rsid w:val="0038447B"/>
    <w:rsid w:val="00384FF3"/>
    <w:rsid w:val="00385ADE"/>
    <w:rsid w:val="00392855"/>
    <w:rsid w:val="003B74DC"/>
    <w:rsid w:val="003C61F9"/>
    <w:rsid w:val="003D030E"/>
    <w:rsid w:val="003E277E"/>
    <w:rsid w:val="003F6203"/>
    <w:rsid w:val="004009E1"/>
    <w:rsid w:val="0040251B"/>
    <w:rsid w:val="00412FD9"/>
    <w:rsid w:val="004309AD"/>
    <w:rsid w:val="004340DC"/>
    <w:rsid w:val="00435CF9"/>
    <w:rsid w:val="00437EAA"/>
    <w:rsid w:val="0044693D"/>
    <w:rsid w:val="00460605"/>
    <w:rsid w:val="0046188D"/>
    <w:rsid w:val="00492E8E"/>
    <w:rsid w:val="004A11BF"/>
    <w:rsid w:val="004A5F28"/>
    <w:rsid w:val="004B5EDE"/>
    <w:rsid w:val="004B7D41"/>
    <w:rsid w:val="004D00E7"/>
    <w:rsid w:val="004E0D9C"/>
    <w:rsid w:val="004E20DC"/>
    <w:rsid w:val="004F2E2F"/>
    <w:rsid w:val="0050494F"/>
    <w:rsid w:val="00525426"/>
    <w:rsid w:val="0053056D"/>
    <w:rsid w:val="0055199D"/>
    <w:rsid w:val="005540CE"/>
    <w:rsid w:val="00554420"/>
    <w:rsid w:val="005550E0"/>
    <w:rsid w:val="00565CD4"/>
    <w:rsid w:val="00573ABD"/>
    <w:rsid w:val="00581793"/>
    <w:rsid w:val="005858BD"/>
    <w:rsid w:val="005933C2"/>
    <w:rsid w:val="005941E2"/>
    <w:rsid w:val="005B4086"/>
    <w:rsid w:val="005C5A03"/>
    <w:rsid w:val="005C6828"/>
    <w:rsid w:val="005D4BF4"/>
    <w:rsid w:val="005E4313"/>
    <w:rsid w:val="005F1D94"/>
    <w:rsid w:val="00605C6C"/>
    <w:rsid w:val="00625A85"/>
    <w:rsid w:val="006262EB"/>
    <w:rsid w:val="00632BDB"/>
    <w:rsid w:val="00652506"/>
    <w:rsid w:val="00661CEB"/>
    <w:rsid w:val="00663769"/>
    <w:rsid w:val="00674106"/>
    <w:rsid w:val="006773D5"/>
    <w:rsid w:val="006836A9"/>
    <w:rsid w:val="0069416D"/>
    <w:rsid w:val="006A0C74"/>
    <w:rsid w:val="006B6876"/>
    <w:rsid w:val="006C5854"/>
    <w:rsid w:val="006F4F01"/>
    <w:rsid w:val="006F53F1"/>
    <w:rsid w:val="006F6B81"/>
    <w:rsid w:val="00700BB0"/>
    <w:rsid w:val="00705412"/>
    <w:rsid w:val="0070572E"/>
    <w:rsid w:val="00713006"/>
    <w:rsid w:val="00717300"/>
    <w:rsid w:val="00731EC9"/>
    <w:rsid w:val="007421E3"/>
    <w:rsid w:val="007426A6"/>
    <w:rsid w:val="00744142"/>
    <w:rsid w:val="00753EB6"/>
    <w:rsid w:val="007634B6"/>
    <w:rsid w:val="00770D56"/>
    <w:rsid w:val="00780635"/>
    <w:rsid w:val="007917AC"/>
    <w:rsid w:val="00792E12"/>
    <w:rsid w:val="007B2795"/>
    <w:rsid w:val="007B7C38"/>
    <w:rsid w:val="007D2174"/>
    <w:rsid w:val="007D2D7B"/>
    <w:rsid w:val="007E667A"/>
    <w:rsid w:val="007F4B19"/>
    <w:rsid w:val="00805ED2"/>
    <w:rsid w:val="008110D5"/>
    <w:rsid w:val="0083217A"/>
    <w:rsid w:val="008448BC"/>
    <w:rsid w:val="0085721E"/>
    <w:rsid w:val="00867A33"/>
    <w:rsid w:val="008725FE"/>
    <w:rsid w:val="00887F76"/>
    <w:rsid w:val="008907C8"/>
    <w:rsid w:val="00891744"/>
    <w:rsid w:val="00895296"/>
    <w:rsid w:val="008A0837"/>
    <w:rsid w:val="008A1F51"/>
    <w:rsid w:val="008B6741"/>
    <w:rsid w:val="008B7D1C"/>
    <w:rsid w:val="008C070E"/>
    <w:rsid w:val="008C6BB1"/>
    <w:rsid w:val="008D2ED0"/>
    <w:rsid w:val="008E6696"/>
    <w:rsid w:val="008F7F8D"/>
    <w:rsid w:val="00904C98"/>
    <w:rsid w:val="00911858"/>
    <w:rsid w:val="00926C87"/>
    <w:rsid w:val="00932106"/>
    <w:rsid w:val="00946612"/>
    <w:rsid w:val="009622AD"/>
    <w:rsid w:val="009807AC"/>
    <w:rsid w:val="009A396D"/>
    <w:rsid w:val="009D18A7"/>
    <w:rsid w:val="009F1EFC"/>
    <w:rsid w:val="00A035DA"/>
    <w:rsid w:val="00A32DF4"/>
    <w:rsid w:val="00A34DAF"/>
    <w:rsid w:val="00A43A7C"/>
    <w:rsid w:val="00A512CC"/>
    <w:rsid w:val="00A51368"/>
    <w:rsid w:val="00AA6C9C"/>
    <w:rsid w:val="00AB4D1D"/>
    <w:rsid w:val="00AC2A8F"/>
    <w:rsid w:val="00AD2CAE"/>
    <w:rsid w:val="00AE0C00"/>
    <w:rsid w:val="00AE120F"/>
    <w:rsid w:val="00B24498"/>
    <w:rsid w:val="00B37CCE"/>
    <w:rsid w:val="00B45239"/>
    <w:rsid w:val="00B469AF"/>
    <w:rsid w:val="00B546CE"/>
    <w:rsid w:val="00B558F7"/>
    <w:rsid w:val="00B659B1"/>
    <w:rsid w:val="00B70B28"/>
    <w:rsid w:val="00B71999"/>
    <w:rsid w:val="00B731A2"/>
    <w:rsid w:val="00B95917"/>
    <w:rsid w:val="00BA3F5C"/>
    <w:rsid w:val="00BB0C3D"/>
    <w:rsid w:val="00BD0B8C"/>
    <w:rsid w:val="00BD0DAB"/>
    <w:rsid w:val="00BD3314"/>
    <w:rsid w:val="00BD361A"/>
    <w:rsid w:val="00BD4524"/>
    <w:rsid w:val="00C00DDC"/>
    <w:rsid w:val="00C02740"/>
    <w:rsid w:val="00C14388"/>
    <w:rsid w:val="00C168D6"/>
    <w:rsid w:val="00C56029"/>
    <w:rsid w:val="00C5762B"/>
    <w:rsid w:val="00C60EB6"/>
    <w:rsid w:val="00C621C6"/>
    <w:rsid w:val="00C65191"/>
    <w:rsid w:val="00C73A80"/>
    <w:rsid w:val="00C82438"/>
    <w:rsid w:val="00C827A7"/>
    <w:rsid w:val="00C8683E"/>
    <w:rsid w:val="00C87ADC"/>
    <w:rsid w:val="00C9367A"/>
    <w:rsid w:val="00CB1F89"/>
    <w:rsid w:val="00CE371C"/>
    <w:rsid w:val="00CE38D3"/>
    <w:rsid w:val="00CF0E52"/>
    <w:rsid w:val="00CF49AE"/>
    <w:rsid w:val="00CF7DF1"/>
    <w:rsid w:val="00D00B95"/>
    <w:rsid w:val="00D03EF9"/>
    <w:rsid w:val="00D05F9F"/>
    <w:rsid w:val="00D0648F"/>
    <w:rsid w:val="00D22FB7"/>
    <w:rsid w:val="00D25BFF"/>
    <w:rsid w:val="00D25C2A"/>
    <w:rsid w:val="00D25D92"/>
    <w:rsid w:val="00D4498C"/>
    <w:rsid w:val="00D578A6"/>
    <w:rsid w:val="00D61AFF"/>
    <w:rsid w:val="00D64EBB"/>
    <w:rsid w:val="00D75900"/>
    <w:rsid w:val="00D81948"/>
    <w:rsid w:val="00D82B65"/>
    <w:rsid w:val="00D97FB5"/>
    <w:rsid w:val="00DB489D"/>
    <w:rsid w:val="00DC2AAD"/>
    <w:rsid w:val="00DD5310"/>
    <w:rsid w:val="00DD71BA"/>
    <w:rsid w:val="00DD723E"/>
    <w:rsid w:val="00DE6AD6"/>
    <w:rsid w:val="00DF25CA"/>
    <w:rsid w:val="00DF3587"/>
    <w:rsid w:val="00DF76DC"/>
    <w:rsid w:val="00E11A8B"/>
    <w:rsid w:val="00E17967"/>
    <w:rsid w:val="00E2252F"/>
    <w:rsid w:val="00E273DA"/>
    <w:rsid w:val="00E27B6D"/>
    <w:rsid w:val="00E334B0"/>
    <w:rsid w:val="00E3423A"/>
    <w:rsid w:val="00E34624"/>
    <w:rsid w:val="00E37089"/>
    <w:rsid w:val="00E37C6E"/>
    <w:rsid w:val="00E55428"/>
    <w:rsid w:val="00E73AF2"/>
    <w:rsid w:val="00E7481D"/>
    <w:rsid w:val="00E75012"/>
    <w:rsid w:val="00E7585B"/>
    <w:rsid w:val="00E87A08"/>
    <w:rsid w:val="00EA55C5"/>
    <w:rsid w:val="00EB0E94"/>
    <w:rsid w:val="00EB46B7"/>
    <w:rsid w:val="00EC116D"/>
    <w:rsid w:val="00EC6894"/>
    <w:rsid w:val="00ED7304"/>
    <w:rsid w:val="00EE0C1B"/>
    <w:rsid w:val="00EE3818"/>
    <w:rsid w:val="00F01339"/>
    <w:rsid w:val="00F05316"/>
    <w:rsid w:val="00F10B0E"/>
    <w:rsid w:val="00F12820"/>
    <w:rsid w:val="00F15534"/>
    <w:rsid w:val="00F15A55"/>
    <w:rsid w:val="00F1689C"/>
    <w:rsid w:val="00F26CF5"/>
    <w:rsid w:val="00F32A9F"/>
    <w:rsid w:val="00F35F3C"/>
    <w:rsid w:val="00F46BE1"/>
    <w:rsid w:val="00F56B33"/>
    <w:rsid w:val="00F57654"/>
    <w:rsid w:val="00F6106F"/>
    <w:rsid w:val="00F72E19"/>
    <w:rsid w:val="00F865F1"/>
    <w:rsid w:val="00F87720"/>
    <w:rsid w:val="00F905AB"/>
    <w:rsid w:val="00FB302A"/>
    <w:rsid w:val="00FC1D77"/>
    <w:rsid w:val="00FC3BE4"/>
    <w:rsid w:val="00FC45A2"/>
    <w:rsid w:val="00FC499F"/>
    <w:rsid w:val="00FC55A2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0BDDD"/>
  <w15:chartTrackingRefBased/>
  <w15:docId w15:val="{B7202BF2-0866-49A0-AFB6-853C69CC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44"/>
  </w:style>
  <w:style w:type="paragraph" w:styleId="Heading1">
    <w:name w:val="heading 1"/>
    <w:basedOn w:val="Normal"/>
    <w:next w:val="Normal"/>
    <w:link w:val="Heading1Char"/>
    <w:uiPriority w:val="9"/>
    <w:qFormat/>
    <w:rsid w:val="002C5BEE"/>
    <w:pPr>
      <w:numPr>
        <w:numId w:val="2"/>
      </w:numPr>
      <w:spacing w:before="240" w:after="120"/>
      <w:ind w:left="360"/>
      <w:outlineLvl w:val="0"/>
    </w:pPr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20DC"/>
    <w:pPr>
      <w:numPr>
        <w:ilvl w:val="1"/>
      </w:numPr>
      <w:spacing w:before="120"/>
      <w:outlineLvl w:val="1"/>
    </w:pPr>
    <w:rPr>
      <w:b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55428"/>
    <w:pPr>
      <w:numPr>
        <w:ilvl w:val="2"/>
      </w:numPr>
      <w:ind w:left="1440" w:hanging="72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05316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70D56"/>
    <w:pPr>
      <w:numPr>
        <w:ilvl w:val="4"/>
      </w:numPr>
      <w:ind w:left="2700" w:hanging="12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4F"/>
  </w:style>
  <w:style w:type="paragraph" w:styleId="Footer">
    <w:name w:val="footer"/>
    <w:basedOn w:val="Normal"/>
    <w:link w:val="FooterChar"/>
    <w:uiPriority w:val="99"/>
    <w:unhideWhenUsed/>
    <w:rsid w:val="0050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4F"/>
  </w:style>
  <w:style w:type="table" w:styleId="TableGrid">
    <w:name w:val="Table Grid"/>
    <w:basedOn w:val="TableNormal"/>
    <w:rsid w:val="00504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E48"/>
    <w:pPr>
      <w:ind w:left="720"/>
      <w:contextualSpacing/>
    </w:pPr>
  </w:style>
  <w:style w:type="paragraph" w:customStyle="1" w:styleId="HdgLevel1">
    <w:name w:val="Hdg Level 1"/>
    <w:basedOn w:val="Normal"/>
    <w:rsid w:val="0005481D"/>
    <w:pPr>
      <w:numPr>
        <w:numId w:val="1"/>
      </w:numPr>
    </w:pPr>
  </w:style>
  <w:style w:type="paragraph" w:customStyle="1" w:styleId="TextLevel1">
    <w:name w:val="Text Level 1"/>
    <w:qFormat/>
    <w:rsid w:val="00097E48"/>
    <w:pPr>
      <w:ind w:left="360"/>
    </w:pPr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20DC"/>
    <w:rPr>
      <w:rFonts w:ascii="Arial" w:eastAsiaTheme="majorEastAsia" w:hAnsi="Arial" w:cs="Arial"/>
      <w:color w:val="000000" w:themeColor="text1"/>
      <w:sz w:val="24"/>
      <w:szCs w:val="24"/>
    </w:rPr>
  </w:style>
  <w:style w:type="paragraph" w:customStyle="1" w:styleId="TextLevel2">
    <w:name w:val="Text Level 2"/>
    <w:basedOn w:val="TextLevel1"/>
    <w:qFormat/>
    <w:rsid w:val="00412FD9"/>
    <w:pPr>
      <w:ind w:left="900"/>
    </w:pPr>
  </w:style>
  <w:style w:type="character" w:customStyle="1" w:styleId="Heading3Char">
    <w:name w:val="Heading 3 Char"/>
    <w:basedOn w:val="DefaultParagraphFont"/>
    <w:link w:val="Heading3"/>
    <w:uiPriority w:val="9"/>
    <w:rsid w:val="00E55428"/>
    <w:rPr>
      <w:rFonts w:ascii="Arial" w:eastAsiaTheme="majorEastAsia" w:hAnsi="Arial" w:cs="Arial"/>
      <w:color w:val="000000" w:themeColor="text1"/>
      <w:sz w:val="24"/>
      <w:szCs w:val="24"/>
    </w:rPr>
  </w:style>
  <w:style w:type="paragraph" w:customStyle="1" w:styleId="TextLevel3">
    <w:name w:val="Text Level 3"/>
    <w:basedOn w:val="TextLevel2"/>
    <w:qFormat/>
    <w:rsid w:val="00E55428"/>
    <w:pPr>
      <w:ind w:left="1530"/>
    </w:pPr>
  </w:style>
  <w:style w:type="character" w:customStyle="1" w:styleId="Heading4Char">
    <w:name w:val="Heading 4 Char"/>
    <w:basedOn w:val="DefaultParagraphFont"/>
    <w:link w:val="Heading4"/>
    <w:uiPriority w:val="9"/>
    <w:rsid w:val="00F05316"/>
    <w:rPr>
      <w:rFonts w:ascii="Arial" w:eastAsiaTheme="majorEastAsia" w:hAnsi="Arial" w:cs="Arial"/>
      <w:color w:val="000000" w:themeColor="text1"/>
      <w:sz w:val="24"/>
      <w:szCs w:val="24"/>
    </w:rPr>
  </w:style>
  <w:style w:type="paragraph" w:customStyle="1" w:styleId="TextLevel4">
    <w:name w:val="Text Level 4"/>
    <w:basedOn w:val="TextLevel3"/>
    <w:qFormat/>
    <w:rsid w:val="0085721E"/>
  </w:style>
  <w:style w:type="character" w:customStyle="1" w:styleId="Heading1Char">
    <w:name w:val="Heading 1 Char"/>
    <w:basedOn w:val="DefaultParagraphFont"/>
    <w:link w:val="Heading1"/>
    <w:uiPriority w:val="9"/>
    <w:rsid w:val="002C5BEE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2ED0"/>
    <w:pPr>
      <w:numPr>
        <w:numId w:val="0"/>
      </w:numPr>
      <w:outlineLvl w:val="9"/>
    </w:pPr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D2ED0"/>
    <w:pPr>
      <w:tabs>
        <w:tab w:val="left" w:pos="880"/>
        <w:tab w:val="right" w:leader="dot" w:pos="9350"/>
      </w:tabs>
      <w:spacing w:before="60" w:after="60"/>
      <w:ind w:left="216"/>
    </w:pPr>
    <w:rPr>
      <w:rFonts w:ascii="Arial" w:eastAsiaTheme="minorEastAsia" w:hAnsi="Arial" w:cs="Times New Roman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8D2ED0"/>
    <w:pPr>
      <w:tabs>
        <w:tab w:val="left" w:pos="440"/>
        <w:tab w:val="right" w:leader="dot" w:pos="9350"/>
      </w:tabs>
      <w:spacing w:before="60" w:after="60"/>
    </w:pPr>
    <w:rPr>
      <w:rFonts w:eastAsiaTheme="minorEastAsia" w:cs="Times New Roman"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D2ED0"/>
    <w:pPr>
      <w:spacing w:before="60" w:after="60"/>
      <w:ind w:left="446"/>
    </w:pPr>
    <w:rPr>
      <w:rFonts w:ascii="Arial" w:eastAsiaTheme="minorEastAsia" w:hAnsi="Arial" w:cs="Times New Roman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3252A4"/>
    <w:pPr>
      <w:spacing w:before="60" w:after="60"/>
      <w:ind w:left="662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8D2ED0"/>
    <w:rPr>
      <w:rFonts w:ascii="Arial" w:hAnsi="Arial"/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70D56"/>
    <w:rPr>
      <w:rFonts w:ascii="Arial" w:eastAsiaTheme="majorEastAsia" w:hAnsi="Arial" w:cs="Arial"/>
      <w:color w:val="000000" w:themeColor="text1"/>
      <w:sz w:val="24"/>
      <w:szCs w:val="24"/>
    </w:rPr>
  </w:style>
  <w:style w:type="paragraph" w:customStyle="1" w:styleId="Style10ptAfter6pt1">
    <w:name w:val="Style 10 pt After:  6 pt1"/>
    <w:basedOn w:val="Normal"/>
    <w:rsid w:val="00D25C2A"/>
    <w:pPr>
      <w:spacing w:after="12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Style14ptBoldCentered">
    <w:name w:val="Style 14 pt Bold Centered"/>
    <w:basedOn w:val="Normal"/>
    <w:rsid w:val="00D25C2A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0"/>
    </w:rPr>
  </w:style>
  <w:style w:type="paragraph" w:customStyle="1" w:styleId="Style18ptBoldCentered">
    <w:name w:val="Style 18 pt Bold Centered"/>
    <w:basedOn w:val="Normal"/>
    <w:rsid w:val="00D25C2A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36"/>
      <w:szCs w:val="20"/>
    </w:rPr>
  </w:style>
  <w:style w:type="character" w:customStyle="1" w:styleId="Style14ptBold">
    <w:name w:val="Style 14 pt Bold"/>
    <w:rsid w:val="00D25C2A"/>
    <w:rPr>
      <w:rFonts w:ascii="Verdana" w:hAnsi="Verdana"/>
      <w:b/>
      <w:bCs/>
      <w:sz w:val="28"/>
    </w:rPr>
  </w:style>
  <w:style w:type="table" w:customStyle="1" w:styleId="Table1">
    <w:name w:val="Table 1"/>
    <w:basedOn w:val="TableNormal"/>
    <w:uiPriority w:val="99"/>
    <w:rsid w:val="006A0C74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  <w:tblHeader/>
    </w:trPr>
    <w:tcPr>
      <w:vAlign w:val="center"/>
    </w:tcPr>
  </w:style>
  <w:style w:type="paragraph" w:customStyle="1" w:styleId="StyleBoldCenteredAfter6pt">
    <w:name w:val="Style Bold Centered After:  6 pt"/>
    <w:basedOn w:val="Normal"/>
    <w:rsid w:val="005C6828"/>
    <w:pPr>
      <w:spacing w:after="12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StyleStyleHeading1Before0ptAfter6pt1Calibri11pt">
    <w:name w:val="Style Style Heading 1 + Before:  0 pt After:  6 pt1 + Calibri 11 pt"/>
    <w:basedOn w:val="Normal"/>
    <w:rsid w:val="008E6696"/>
    <w:pPr>
      <w:spacing w:after="120" w:line="240" w:lineRule="auto"/>
      <w:outlineLvl w:val="0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TableBodyText">
    <w:name w:val="Table Body Text"/>
    <w:basedOn w:val="Normal"/>
    <w:qFormat/>
    <w:rsid w:val="005550E0"/>
    <w:pPr>
      <w:spacing w:after="0" w:line="240" w:lineRule="auto"/>
    </w:pPr>
    <w:rPr>
      <w:rFonts w:ascii="Arial" w:hAnsi="Arial"/>
      <w:sz w:val="20"/>
    </w:rPr>
  </w:style>
  <w:style w:type="paragraph" w:customStyle="1" w:styleId="TableHeaderText">
    <w:name w:val="Table Header Text"/>
    <w:basedOn w:val="Normal"/>
    <w:qFormat/>
    <w:rsid w:val="005550E0"/>
    <w:pPr>
      <w:spacing w:after="0" w:line="240" w:lineRule="auto"/>
    </w:pPr>
    <w:rPr>
      <w:rFonts w:ascii="Arial" w:hAnsi="Arial"/>
      <w:b/>
      <w:sz w:val="20"/>
    </w:rPr>
  </w:style>
  <w:style w:type="table" w:customStyle="1" w:styleId="BlueTop">
    <w:name w:val="BlueTop"/>
    <w:basedOn w:val="TableNormal"/>
    <w:uiPriority w:val="99"/>
    <w:rsid w:val="008C070E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rPr>
        <w:rFonts w:ascii="Arial" w:hAnsi="Arial"/>
        <w:b/>
        <w:sz w:val="20"/>
      </w:rPr>
      <w:tblPr/>
      <w:trPr>
        <w:cantSplit/>
        <w:tblHeader/>
      </w:trPr>
      <w:tcPr>
        <w:shd w:val="clear" w:color="auto" w:fill="9CC2E5" w:themeFill="accent1" w:themeFillTint="99"/>
      </w:tcPr>
    </w:tblStylePr>
  </w:style>
  <w:style w:type="table" w:styleId="GridTable4-Accent5">
    <w:name w:val="Grid Table 4 Accent 5"/>
    <w:basedOn w:val="TableNormal"/>
    <w:uiPriority w:val="49"/>
    <w:rsid w:val="00BB0C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0fb42f6-fc86-4dcc-b48f-1cafd7249722">
      <Terms xmlns="http://schemas.microsoft.com/office/infopath/2007/PartnerControls"/>
    </lcf76f155ced4ddcb4097134ff3c332f>
    <TaxCatchAll xmlns="dc3f106c-caa2-467e-b911-5c4e7bda5d16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DCFADF069EC44BF181E3E0DC71AD0" ma:contentTypeVersion="13" ma:contentTypeDescription="Create a new document." ma:contentTypeScope="" ma:versionID="3ae53353ed02f9ddee1257adfe45560a">
  <xsd:schema xmlns:xsd="http://www.w3.org/2001/XMLSchema" xmlns:xs="http://www.w3.org/2001/XMLSchema" xmlns:p="http://schemas.microsoft.com/office/2006/metadata/properties" xmlns:ns1="http://schemas.microsoft.com/sharepoint/v3" xmlns:ns2="80fb42f6-fc86-4dcc-b48f-1cafd7249722" xmlns:ns3="dc3f106c-caa2-467e-b911-5c4e7bda5d16" targetNamespace="http://schemas.microsoft.com/office/2006/metadata/properties" ma:root="true" ma:fieldsID="7149d88422bbce76e33835f5b7b2e85c" ns1:_="" ns2:_="" ns3:_="">
    <xsd:import namespace="http://schemas.microsoft.com/sharepoint/v3"/>
    <xsd:import namespace="80fb42f6-fc86-4dcc-b48f-1cafd7249722"/>
    <xsd:import namespace="dc3f106c-caa2-467e-b911-5c4e7bda5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42f6-fc86-4dcc-b48f-1cafd724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f106c-caa2-467e-b911-5c4e7bda5d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bed53a-ced0-41db-aaca-55091bf5adf4}" ma:internalName="TaxCatchAll" ma:showField="CatchAllData" ma:web="dc3f106c-caa2-467e-b911-5c4e7bda5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347A0-78C7-4065-BDD0-2C2A7F56C3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fb42f6-fc86-4dcc-b48f-1cafd7249722"/>
    <ds:schemaRef ds:uri="dc3f106c-caa2-467e-b911-5c4e7bda5d16"/>
  </ds:schemaRefs>
</ds:datastoreItem>
</file>

<file path=customXml/itemProps2.xml><?xml version="1.0" encoding="utf-8"?>
<ds:datastoreItem xmlns:ds="http://schemas.openxmlformats.org/officeDocument/2006/customXml" ds:itemID="{586468E6-5005-4465-8980-56C2B1C38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5EA7F-EAD2-4F6F-908C-FDA66EFD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b42f6-fc86-4dcc-b48f-1cafd7249722"/>
    <ds:schemaRef ds:uri="dc3f106c-caa2-467e-b911-5c4e7bda5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5A929-2208-4E05-A196-3F4F7F020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Nathan</dc:creator>
  <cp:keywords/>
  <dc:description/>
  <cp:lastModifiedBy>Gomez, Leslie</cp:lastModifiedBy>
  <cp:revision>27</cp:revision>
  <dcterms:created xsi:type="dcterms:W3CDTF">2026-05-26T16:24:00Z</dcterms:created>
  <dcterms:modified xsi:type="dcterms:W3CDTF">2026-05-29T18:23:00Z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0x010100045DCFADF069EC44BF181E3E0DC71AD0</vt:lpwstr>
  </property>
</Properties>
</file>